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Theme="minorEastAsia"/>
          <w:b/>
          <w:i/>
          <w:sz w:val="28"/>
          <w:lang w:val="en-US" w:eastAsia="zh-CN"/>
        </w:rPr>
      </w:pPr>
      <w:r>
        <w:rPr>
          <w:b/>
          <w:sz w:val="24"/>
        </w:rPr>
        <w:t>3GPP TSG-RAN WG1 Meeting #110</w:t>
      </w:r>
      <w:r>
        <w:rPr>
          <w:b/>
          <w:i/>
          <w:sz w:val="28"/>
        </w:rPr>
        <w:tab/>
      </w:r>
      <w:r>
        <w:rPr>
          <w:b/>
          <w:i w:val="0"/>
          <w:iCs/>
          <w:sz w:val="28"/>
        </w:rPr>
        <w:t>R1-220</w:t>
      </w:r>
      <w:r>
        <w:rPr>
          <w:rFonts w:hint="eastAsia"/>
          <w:b/>
          <w:i w:val="0"/>
          <w:iCs/>
          <w:sz w:val="28"/>
          <w:lang w:val="en-US" w:eastAsia="zh-CN"/>
        </w:rPr>
        <w:t>8252</w:t>
      </w:r>
    </w:p>
    <w:p>
      <w:pPr>
        <w:pStyle w:val="118"/>
        <w:outlineLvl w:val="0"/>
        <w:rPr>
          <w:b/>
          <w:sz w:val="24"/>
        </w:rPr>
      </w:pPr>
      <w:r>
        <w:rPr>
          <w:b/>
          <w:sz w:val="24"/>
        </w:rPr>
        <w:t>Toulouse, France, August 22 – 26, 2022</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color w:val="FF0000"/>
                <w:sz w:val="32"/>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wordWrap w:val="0"/>
              <w:spacing w:after="0"/>
              <w:jc w:val="right"/>
              <w:rPr>
                <w:b/>
                <w:sz w:val="28"/>
                <w:lang w:eastAsia="zh-CN"/>
              </w:rPr>
            </w:pPr>
            <w:r>
              <w:rPr>
                <w:rFonts w:hint="eastAsia"/>
                <w:b/>
                <w:sz w:val="28"/>
                <w:lang w:eastAsia="zh-CN"/>
              </w:rPr>
              <w:t>T</w:t>
            </w:r>
            <w:r>
              <w:rPr>
                <w:b/>
                <w:sz w:val="28"/>
                <w:lang w:eastAsia="zh-CN"/>
              </w:rPr>
              <w:t>S 38.214</w:t>
            </w:r>
          </w:p>
        </w:tc>
        <w:tc>
          <w:tcPr>
            <w:tcW w:w="709" w:type="dxa"/>
          </w:tcPr>
          <w:p>
            <w:pPr>
              <w:pStyle w:val="118"/>
              <w:spacing w:after="0"/>
              <w:jc w:val="center"/>
            </w:pPr>
            <w:r>
              <w:rPr>
                <w:b/>
                <w:sz w:val="28"/>
              </w:rPr>
              <w:t>CR</w:t>
            </w:r>
          </w:p>
        </w:tc>
        <w:tc>
          <w:tcPr>
            <w:tcW w:w="1276" w:type="dxa"/>
            <w:shd w:val="pct30" w:color="FFFF00" w:fill="auto"/>
          </w:tcPr>
          <w:p>
            <w:pPr>
              <w:pStyle w:val="118"/>
              <w:spacing w:after="0"/>
              <w:rPr>
                <w:rFonts w:hint="default" w:eastAsiaTheme="minorEastAsia"/>
                <w:lang w:val="en-US" w:eastAsia="zh-CN"/>
              </w:rPr>
            </w:pPr>
            <w:r>
              <w:rPr>
                <w:rFonts w:hint="eastAsia"/>
                <w:b/>
                <w:sz w:val="28"/>
                <w:lang w:val="en-US" w:eastAsia="zh-CN"/>
              </w:rPr>
              <w:t>0328</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b/>
                <w:sz w:val="28"/>
                <w:lang w:eastAsia="zh-CN"/>
              </w:rPr>
            </w:pPr>
            <w:r>
              <w:rPr>
                <w:rFonts w:hint="eastAsia"/>
                <w:b/>
                <w:sz w:val="28"/>
                <w:lang w:eastAsia="zh-CN"/>
              </w:rPr>
              <w:t>1</w:t>
            </w:r>
            <w:r>
              <w:rPr>
                <w:b/>
                <w:sz w:val="28"/>
                <w:lang w:eastAsia="zh-CN"/>
              </w:rPr>
              <w:t>7.2.0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lang w:eastAsia="zh-CN"/>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hint="eastAsia"/>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lang w:eastAsia="zh-CN"/>
              </w:rPr>
            </w:pPr>
            <w:r>
              <w:rPr>
                <w:rFonts w:cs="Arial"/>
              </w:rPr>
              <w:t>Correction on Rel-17 aperiodic SRS configuration for 1T4R</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r>
              <w:rPr>
                <w:rFonts w:hint="eastAsia"/>
                <w:lang w:val="en-US" w:eastAsia="zh-CN"/>
              </w:rPr>
              <w:t xml:space="preserve">Moderator (ZTE), </w:t>
            </w:r>
            <w:r>
              <w:t>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rPr>
                <w:rFonts w:cs="Arial"/>
              </w:rPr>
              <w:t>NR_feMIMO-Core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Theme="minorEastAsia"/>
                <w:lang w:val="en-US" w:eastAsia="zh-CN"/>
              </w:rPr>
            </w:pPr>
            <w:r>
              <w:t>2022-08-</w:t>
            </w:r>
            <w:r>
              <w:rPr>
                <w:rFonts w:hint="eastAsia"/>
                <w:lang w:val="en-US" w:eastAsia="zh-CN"/>
              </w:rPr>
              <w:t>26</w:t>
            </w:r>
            <w:bookmarkStart w:id="10" w:name="_GoBack"/>
            <w:bookmarkEnd w:id="10"/>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lang w:val="en-US" w:eastAsia="zh-CN"/>
              </w:rPr>
            </w:pPr>
            <w:r>
              <w:rPr>
                <w:lang w:val="en-US" w:eastAsia="zh-CN"/>
              </w:rPr>
              <w:t>For 1T4R antenna switching,  whether to support 1 aperiodic SRS resource set</w:t>
            </w:r>
            <w:r>
              <w:rPr>
                <w:rFonts w:hint="eastAsia"/>
                <w:lang w:val="en-US" w:eastAsia="zh-CN"/>
              </w:rPr>
              <w:t xml:space="preserve"> </w:t>
            </w:r>
            <w:r>
              <w:rPr>
                <w:lang w:val="en-US" w:eastAsia="zh-CN"/>
              </w:rPr>
              <w:t>is indicated by UE feature “1 aperiodic SRS resource set for 1T4R” instead of UE feature “</w:t>
            </w:r>
            <w:r>
              <w:t>extension of aperiodic antenna switching SRS configuration for 1T4R, 1T2R and 2T4R</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lang w:eastAsia="zh-CN"/>
              </w:rPr>
            </w:pPr>
            <w:r>
              <w:rPr>
                <w:lang w:eastAsia="zh-CN"/>
              </w:rPr>
              <w:t>To clarify that the support of 1 aperiodic SRS resource set for 1T4R is indicated by UE feature “</w:t>
            </w:r>
            <w:r>
              <w:rPr>
                <w:lang w:val="en-US" w:eastAsia="zh-CN"/>
              </w:rPr>
              <w:t>1 aperiodic SRS resource set for 1T4R</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400" w:leftChars="50" w:hanging="300" w:hangingChars="150"/>
              <w:rPr>
                <w:lang w:eastAsia="zh-CN"/>
              </w:rPr>
            </w:pPr>
            <w:r>
              <w:rPr>
                <w:lang w:eastAsia="zh-CN"/>
              </w:rPr>
              <w:t>Aperiodic SRS configuration for 1T4R is not aligned with the corresponding</w:t>
            </w:r>
          </w:p>
          <w:p>
            <w:pPr>
              <w:pStyle w:val="118"/>
              <w:spacing w:after="0"/>
              <w:ind w:left="400" w:leftChars="50" w:hanging="300" w:hangingChars="150"/>
              <w:rPr>
                <w:lang w:eastAsia="zh-CN"/>
              </w:rPr>
            </w:pPr>
            <w:r>
              <w:rPr>
                <w:lang w:eastAsia="zh-CN"/>
              </w:rPr>
              <w:t>UE feature.</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lang w:eastAsia="zh-CN"/>
              </w:rPr>
            </w:pPr>
            <w:r>
              <w:rPr>
                <w:lang w:eastAsia="zh-CN"/>
              </w:rPr>
              <w:t>6.2.1.2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u w:val="single"/>
                <w:lang w:val="en-US"/>
              </w:rPr>
            </w:pPr>
            <w:r>
              <w:rPr>
                <w:rFonts w:ascii="Arial" w:hAnsi="Arial"/>
                <w:u w:val="single"/>
                <w:lang w:val="en-US"/>
              </w:rPr>
              <w:t>Isolated Impact Analysis:</w:t>
            </w:r>
          </w:p>
          <w:p>
            <w:pPr>
              <w:pStyle w:val="118"/>
              <w:spacing w:after="0"/>
              <w:ind w:left="100"/>
              <w:rPr>
                <w:lang w:eastAsia="zh-CN"/>
              </w:rPr>
            </w:pPr>
            <w:r>
              <w:rPr>
                <w:lang w:eastAsia="zh-CN"/>
              </w:rPr>
              <w:t>No inter-operatability issue is identified.</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20"/>
        <w:ind w:left="1418" w:hanging="1418"/>
        <w:outlineLvl w:val="3"/>
        <w:rPr>
          <w:rFonts w:ascii="Arial" w:hAnsi="Arial"/>
          <w:color w:val="000000"/>
          <w:sz w:val="24"/>
          <w:lang w:val="zh-CN"/>
        </w:rPr>
      </w:pPr>
      <w:bookmarkStart w:id="1" w:name="_Toc20318049"/>
      <w:bookmarkStart w:id="2" w:name="_Toc45810634"/>
      <w:bookmarkStart w:id="3" w:name="_Toc36645585"/>
      <w:bookmarkStart w:id="4" w:name="_Toc29673221"/>
      <w:bookmarkStart w:id="5" w:name="_Toc11352159"/>
      <w:bookmarkStart w:id="6" w:name="_Toc106695684"/>
      <w:bookmarkStart w:id="7" w:name="_Toc29674355"/>
      <w:bookmarkStart w:id="8" w:name="_Toc29673362"/>
      <w:bookmarkStart w:id="9" w:name="_Toc27299947"/>
      <w:r>
        <w:rPr>
          <w:rFonts w:ascii="Arial" w:hAnsi="Arial"/>
          <w:color w:val="000000"/>
          <w:sz w:val="24"/>
          <w:lang w:val="zh-CN"/>
        </w:rPr>
        <w:t>6.2.1.2</w:t>
      </w:r>
      <w:r>
        <w:rPr>
          <w:rFonts w:ascii="Arial" w:hAnsi="Arial"/>
          <w:color w:val="000000"/>
          <w:sz w:val="24"/>
          <w:lang w:val="zh-CN"/>
        </w:rPr>
        <w:tab/>
      </w:r>
      <w:r>
        <w:rPr>
          <w:rFonts w:ascii="Arial" w:hAnsi="Arial"/>
          <w:color w:val="000000"/>
          <w:sz w:val="24"/>
          <w:lang w:val="zh-CN"/>
        </w:rPr>
        <w:t xml:space="preserve">UE </w:t>
      </w:r>
      <w:r>
        <w:rPr>
          <w:rFonts w:ascii="Arial" w:hAnsi="Arial"/>
          <w:color w:val="000000"/>
          <w:sz w:val="24"/>
        </w:rPr>
        <w:t>sounding procedure for DL CSI acquisition</w:t>
      </w:r>
      <w:bookmarkEnd w:id="1"/>
      <w:bookmarkEnd w:id="2"/>
      <w:bookmarkEnd w:id="3"/>
      <w:bookmarkEnd w:id="4"/>
      <w:bookmarkEnd w:id="5"/>
      <w:bookmarkEnd w:id="6"/>
      <w:bookmarkEnd w:id="7"/>
      <w:bookmarkEnd w:id="8"/>
      <w:bookmarkEnd w:id="9"/>
    </w:p>
    <w:p>
      <w:pPr>
        <w:jc w:val="center"/>
        <w:rPr>
          <w:color w:val="FF0000"/>
          <w:lang w:eastAsia="zh-CN"/>
        </w:rPr>
      </w:pPr>
      <w:r>
        <w:rPr>
          <w:color w:val="FF0000"/>
          <w:lang w:eastAsia="zh-CN"/>
        </w:rPr>
        <w:t>========================= Unchanged parts =========================</w:t>
      </w:r>
    </w:p>
    <w:p>
      <w:pPr>
        <w:ind w:left="568" w:hanging="284"/>
        <w:rPr>
          <w:rFonts w:eastAsia="MS Mincho"/>
          <w:iCs/>
          <w:lang w:val="en-US" w:eastAsia="ja-JP"/>
        </w:rPr>
      </w:pPr>
      <w:r>
        <w:rPr>
          <w:rFonts w:eastAsia="MS Mincho"/>
          <w:iCs/>
          <w:lang w:val="en-US" w:eastAsia="ja-JP"/>
        </w:rPr>
        <w:t>-</w:t>
      </w:r>
      <w:r>
        <w:rPr>
          <w:rFonts w:eastAsia="MS Mincho"/>
          <w:iCs/>
          <w:lang w:val="en-US" w:eastAsia="ja-JP"/>
        </w:rPr>
        <w:tab/>
      </w:r>
      <w:r>
        <w:rPr>
          <w:rFonts w:eastAsia="MS Mincho"/>
          <w:iCs/>
          <w:lang w:val="en-US" w:eastAsia="ja-JP"/>
        </w:rPr>
        <w:t>For 1T4R, if the UE is indicating a capability for [maximum 2 semi-persistent and maximum 1 periodic SRS resource sets] and/or a capability for [extension of aperiodic antenna switching SRS configuration]</w:t>
      </w:r>
      <w:ins w:id="0" w:author="Huawei" w:date="2022-07-20T10:17:00Z">
        <w:r>
          <w:rPr>
            <w:rFonts w:eastAsia="MS Mincho"/>
            <w:iCs/>
            <w:lang w:val="en-US" w:eastAsia="ja-JP"/>
          </w:rPr>
          <w:t xml:space="preserve"> and/or a capability for </w:t>
        </w:r>
      </w:ins>
      <w:ins w:id="1" w:author="Huawei" w:date="2022-07-20T10:18:00Z">
        <w:r>
          <w:rPr>
            <w:lang w:val="en-US" w:eastAsia="zh-CN"/>
          </w:rPr>
          <w:t>1 aperiodic SRS resource set for 1T4R</w:t>
        </w:r>
      </w:ins>
      <w:r>
        <w:rPr>
          <w:rFonts w:eastAsia="MS Mincho"/>
          <w:iCs/>
          <w:lang w:val="en-US" w:eastAsia="ja-JP"/>
        </w:rPr>
        <w:t xml:space="preserve">, </w:t>
      </w:r>
    </w:p>
    <w:p>
      <w:pPr>
        <w:ind w:left="851" w:hanging="284"/>
        <w:rPr>
          <w:lang w:val="zh-CN"/>
        </w:rPr>
      </w:pPr>
      <w:r>
        <w:rPr>
          <w:lang w:val="zh-CN"/>
        </w:rPr>
        <w:t>-</w:t>
      </w:r>
      <w:r>
        <w:rPr>
          <w:lang w:val="zh-CN"/>
        </w:rPr>
        <w:tab/>
      </w:r>
      <w:r>
        <w:rPr>
          <w:iCs/>
          <w:lang w:val="en-US" w:eastAsia="ja-JP"/>
        </w:rPr>
        <w:t xml:space="preserve">zero or one SRS resource set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'periodic' or 'semi-persistent' </w:t>
      </w:r>
      <w:r>
        <w:rPr>
          <w:lang w:val="zh-CN"/>
        </w:rPr>
        <w:t xml:space="preserve">if the UE is not indicating a capability for [maximum 2 semi-persistent and maximum 1 periodic SRS resource sets], or up to two SRS resource sets configured with </w:t>
      </w:r>
      <w:r>
        <w:rPr>
          <w:i/>
          <w:lang w:val="zh-CN"/>
        </w:rPr>
        <w:t>resourceType</w:t>
      </w:r>
      <w:r>
        <w:rPr>
          <w:lang w:val="zh-CN"/>
        </w:rPr>
        <w:t xml:space="preserve"> in </w:t>
      </w:r>
      <w:r>
        <w:rPr>
          <w:i/>
          <w:lang w:val="zh-CN"/>
        </w:rPr>
        <w:t>SRS-ResourceSet</w:t>
      </w:r>
      <w:r>
        <w:rPr>
          <w:lang w:val="zh-CN"/>
        </w:rPr>
        <w:t xml:space="preserve"> set to '</w:t>
      </w:r>
      <w:r>
        <w:rPr>
          <w:i/>
          <w:lang w:val="zh-CN"/>
        </w:rPr>
        <w:t>semi-persistent</w:t>
      </w:r>
      <w:r>
        <w:rPr>
          <w:lang w:val="zh-CN"/>
        </w:rPr>
        <w:t xml:space="preserve">' and up to one SRS resource set configured with </w:t>
      </w:r>
      <w:r>
        <w:rPr>
          <w:i/>
          <w:lang w:val="zh-CN"/>
        </w:rPr>
        <w:t>resourceType</w:t>
      </w:r>
      <w:r>
        <w:rPr>
          <w:lang w:val="zh-CN"/>
        </w:rPr>
        <w:t xml:space="preserve"> in </w:t>
      </w:r>
      <w:r>
        <w:rPr>
          <w:i/>
          <w:lang w:val="zh-CN"/>
        </w:rPr>
        <w:t>SRS-ResourceSet</w:t>
      </w:r>
      <w:r>
        <w:rPr>
          <w:lang w:val="zh-CN"/>
        </w:rPr>
        <w:t xml:space="preserve"> set to '</w:t>
      </w:r>
      <w:r>
        <w:rPr>
          <w:i/>
          <w:lang w:val="zh-CN"/>
        </w:rPr>
        <w:t>periodic</w:t>
      </w:r>
      <w:r>
        <w:rPr>
          <w:lang w:val="zh-CN"/>
        </w:rPr>
        <w:t>' if the UE is indicating a capability for [maximum 2 semi-persistent and maximum 1 periodic SRS resource sets],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ind w:left="851" w:hanging="284"/>
        <w:rPr>
          <w:lang w:val="zh-CN"/>
        </w:rPr>
      </w:pPr>
      <w:r>
        <w:rPr>
          <w:iCs/>
          <w:lang w:val="en-US" w:eastAsia="ja-JP"/>
        </w:rPr>
        <w:t>-</w:t>
      </w:r>
      <w:r>
        <w:rPr>
          <w:iCs/>
          <w:lang w:val="en-US" w:eastAsia="ja-JP"/>
        </w:rPr>
        <w:tab/>
      </w:r>
      <w:r>
        <w:rPr>
          <w:iCs/>
          <w:lang w:val="en-US" w:eastAsia="ja-JP"/>
        </w:rPr>
        <w:t>zero or</w:t>
      </w:r>
      <w:r>
        <w:rPr>
          <w:iCs/>
          <w:lang w:val="zh-CN" w:eastAsia="ja-JP"/>
        </w:rPr>
        <w:t xml:space="preserve"> </w:t>
      </w:r>
      <w:r>
        <w:rPr>
          <w:iCs/>
          <w:lang w:val="en-US" w:eastAsia="ja-JP"/>
        </w:rPr>
        <w:t xml:space="preserve">two 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zh-CN"/>
        </w:rPr>
        <w:t>if the UE is not indicating a capability for extension of aperiodic antenna switching SRS configuration</w:t>
      </w:r>
      <w:ins w:id="2" w:author="Huawei" w:date="2022-07-20T10:19:00Z">
        <w:r>
          <w:rPr>
            <w:lang w:val="zh-CN"/>
          </w:rPr>
          <w:t xml:space="preserve"> </w:t>
        </w:r>
      </w:ins>
      <w:ins w:id="3" w:author="Huawei" w:date="2022-08-08T21:07:00Z">
        <w:r>
          <w:rPr>
            <w:lang w:val="zh-CN"/>
          </w:rPr>
          <w:t>or</w:t>
        </w:r>
      </w:ins>
      <w:ins w:id="4" w:author="Huawei" w:date="2022-07-20T10:19:00Z">
        <w:r>
          <w:rPr>
            <w:lang w:val="zh-CN"/>
          </w:rPr>
          <w:t xml:space="preserve"> a capability for </w:t>
        </w:r>
      </w:ins>
      <w:ins w:id="5" w:author="Huawei" w:date="2022-07-20T10:19:00Z">
        <w:r>
          <w:rPr>
            <w:lang w:val="en-US" w:eastAsia="zh-CN"/>
          </w:rPr>
          <w:t>1 aperiodic SRS resource set for 1T4R</w:t>
        </w:r>
      </w:ins>
      <w:r>
        <w:rPr>
          <w:lang w:val="zh-CN"/>
        </w:rPr>
        <w:t xml:space="preserve">, </w:t>
      </w:r>
      <w:r>
        <w:rPr>
          <w:iCs/>
          <w:lang w:val="zh-CN" w:eastAsia="ja-JP"/>
        </w:rPr>
        <w:t xml:space="preserve">or </w:t>
      </w:r>
      <w:r>
        <w:rPr>
          <w:iCs/>
          <w:lang w:val="en-US" w:eastAsia="ja-JP"/>
        </w:rPr>
        <w:t xml:space="preserve">zero </w:t>
      </w:r>
      <w:r>
        <w:rPr>
          <w:iCs/>
          <w:lang w:val="zh-CN" w:eastAsia="ja-JP"/>
        </w:rPr>
        <w:t xml:space="preserve">or one or </w:t>
      </w:r>
      <w:r>
        <w:rPr>
          <w:iCs/>
          <w:lang w:val="en-US" w:eastAsia="ja-JP"/>
        </w:rPr>
        <w:t>two</w:t>
      </w:r>
      <w:del w:id="6" w:author="Huawei" w:date="2022-07-20T10:21:00Z">
        <w:r>
          <w:rPr>
            <w:iCs/>
            <w:lang w:val="en-US" w:eastAsia="ja-JP"/>
          </w:rPr>
          <w:delText xml:space="preserve"> SRS resource</w:delText>
        </w:r>
      </w:del>
      <w:del w:id="7" w:author="Huawei" w:date="2022-07-20T10:21:00Z">
        <w:r>
          <w:rPr>
            <w:lang w:val="zh-CN"/>
          </w:rPr>
          <w:delText xml:space="preserve"> </w:delText>
        </w:r>
      </w:del>
      <w:r>
        <w:rPr>
          <w:lang w:val="zh-CN"/>
        </w:rPr>
        <w:t xml:space="preserve">or </w:t>
      </w:r>
      <w:r>
        <w:rPr>
          <w:iCs/>
          <w:lang w:val="zh-CN" w:eastAsia="ja-JP"/>
        </w:rPr>
        <w:t xml:space="preserve">four </w:t>
      </w:r>
      <w:r>
        <w:rPr>
          <w:iCs/>
          <w:lang w:val="en-US" w:eastAsia="ja-JP"/>
        </w:rPr>
        <w:t xml:space="preserve">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zh-CN"/>
        </w:rPr>
        <w:t>if the UE is indicating a capability for [extension of aperiodic antenna switching SRS configuration]</w:t>
      </w:r>
      <w:ins w:id="8" w:author="Huawei" w:date="2022-07-20T10:20:00Z">
        <w:r>
          <w:rPr>
            <w:lang w:val="zh-CN"/>
          </w:rPr>
          <w:t xml:space="preserve"> and a capability for </w:t>
        </w:r>
      </w:ins>
      <w:ins w:id="9" w:author="Huawei" w:date="2022-07-20T10:20:00Z">
        <w:r>
          <w:rPr>
            <w:lang w:val="en-US" w:eastAsia="zh-CN"/>
          </w:rPr>
          <w:t xml:space="preserve">1 aperiodic SRS resource set for 1T4R, or </w:t>
        </w:r>
      </w:ins>
      <w:ins w:id="10" w:author="Huawei" w:date="2022-08-08T21:01:00Z">
        <w:r>
          <w:rPr>
            <w:lang w:val="en-US" w:eastAsia="zh-CN"/>
          </w:rPr>
          <w:t xml:space="preserve">zero or two or four SRS resource sets </w:t>
        </w:r>
      </w:ins>
      <w:ins w:id="11" w:author="Huawei" w:date="2022-08-08T21:01:00Z">
        <w:r>
          <w:rPr>
            <w:iCs/>
            <w:lang w:val="en-US" w:eastAsia="ja-JP"/>
          </w:rPr>
          <w:t xml:space="preserve">each configured with </w:t>
        </w:r>
      </w:ins>
      <w:ins w:id="12" w:author="Huawei" w:date="2022-08-08T21:01:00Z">
        <w:r>
          <w:rPr>
            <w:i/>
            <w:iCs/>
            <w:lang w:val="en-US" w:eastAsia="ja-JP"/>
          </w:rPr>
          <w:t>resourceType</w:t>
        </w:r>
      </w:ins>
      <w:ins w:id="13" w:author="Huawei" w:date="2022-08-08T21:01:00Z">
        <w:r>
          <w:rPr>
            <w:iCs/>
            <w:lang w:val="en-US" w:eastAsia="ja-JP"/>
          </w:rPr>
          <w:t xml:space="preserve"> in </w:t>
        </w:r>
      </w:ins>
      <w:ins w:id="14" w:author="Huawei" w:date="2022-08-08T21:01:00Z">
        <w:r>
          <w:rPr>
            <w:i/>
            <w:iCs/>
            <w:lang w:val="en-US" w:eastAsia="ja-JP"/>
          </w:rPr>
          <w:t>SRS-ResourceSet</w:t>
        </w:r>
      </w:ins>
      <w:ins w:id="15" w:author="Huawei" w:date="2022-08-08T21:01:00Z">
        <w:r>
          <w:rPr>
            <w:iCs/>
            <w:lang w:val="en-US" w:eastAsia="ja-JP"/>
          </w:rPr>
          <w:t xml:space="preserve"> set to 'aperiodic' </w:t>
        </w:r>
      </w:ins>
      <w:ins w:id="16" w:author="Huawei" w:date="2022-08-08T21:01:00Z">
        <w:r>
          <w:rPr>
            <w:lang w:val="zh-CN"/>
          </w:rPr>
          <w:t>if the UE is indicating a capability for extension of aperiodic antenna switching SRS configuration</w:t>
        </w:r>
      </w:ins>
      <w:ins w:id="17" w:author="Huawei" w:date="2022-08-08T21:01:00Z">
        <w:r>
          <w:rPr>
            <w:lang w:val="en-US" w:eastAsia="zh-CN"/>
          </w:rPr>
          <w:t xml:space="preserve"> only, or </w:t>
        </w:r>
      </w:ins>
      <w:ins w:id="18" w:author="Huawei" w:date="2022-07-20T10:21:00Z">
        <w:r>
          <w:rPr>
            <w:lang w:val="en-US" w:eastAsia="zh-CN"/>
          </w:rPr>
          <w:t>zero or one or two SRS resource sets</w:t>
        </w:r>
      </w:ins>
      <w:ins w:id="19" w:author="Huawei" w:date="2022-07-20T10:22:00Z">
        <w:r>
          <w:rPr>
            <w:lang w:val="en-US" w:eastAsia="zh-CN"/>
          </w:rPr>
          <w:t xml:space="preserve"> </w:t>
        </w:r>
      </w:ins>
      <w:ins w:id="20" w:author="Huawei" w:date="2022-07-20T10:22:00Z">
        <w:r>
          <w:rPr>
            <w:iCs/>
            <w:lang w:val="en-US" w:eastAsia="ja-JP"/>
          </w:rPr>
          <w:t xml:space="preserve">each configured with </w:t>
        </w:r>
      </w:ins>
      <w:ins w:id="21" w:author="Huawei" w:date="2022-07-20T10:22:00Z">
        <w:r>
          <w:rPr>
            <w:i/>
            <w:iCs/>
            <w:lang w:val="en-US" w:eastAsia="ja-JP"/>
          </w:rPr>
          <w:t>resourceType</w:t>
        </w:r>
      </w:ins>
      <w:ins w:id="22" w:author="Huawei" w:date="2022-07-20T10:22:00Z">
        <w:r>
          <w:rPr>
            <w:iCs/>
            <w:lang w:val="en-US" w:eastAsia="ja-JP"/>
          </w:rPr>
          <w:t xml:space="preserve"> in </w:t>
        </w:r>
      </w:ins>
      <w:ins w:id="23" w:author="Huawei" w:date="2022-07-20T10:22:00Z">
        <w:r>
          <w:rPr>
            <w:i/>
            <w:iCs/>
            <w:lang w:val="en-US" w:eastAsia="ja-JP"/>
          </w:rPr>
          <w:t>SRS-ResourceSet</w:t>
        </w:r>
      </w:ins>
      <w:ins w:id="24" w:author="Huawei" w:date="2022-07-20T10:22:00Z">
        <w:r>
          <w:rPr>
            <w:iCs/>
            <w:lang w:val="en-US" w:eastAsia="ja-JP"/>
          </w:rPr>
          <w:t xml:space="preserve"> set to 'aperiodic' </w:t>
        </w:r>
      </w:ins>
      <w:ins w:id="25" w:author="Huawei" w:date="2022-07-20T10:22:00Z">
        <w:r>
          <w:rPr>
            <w:lang w:val="zh-CN"/>
          </w:rPr>
          <w:t xml:space="preserve">if the UE is indicating a capability for </w:t>
        </w:r>
      </w:ins>
      <w:ins w:id="26" w:author="Huawei" w:date="2022-07-20T10:22:00Z">
        <w:r>
          <w:rPr>
            <w:lang w:val="en-US" w:eastAsia="zh-CN"/>
          </w:rPr>
          <w:t xml:space="preserve">1 aperiodic SRS resource set for 1T4R </w:t>
        </w:r>
      </w:ins>
      <w:ins w:id="27" w:author="Huawei" w:date="2022-07-20T10:23:00Z">
        <w:r>
          <w:rPr>
            <w:lang w:val="en-US" w:eastAsia="zh-CN"/>
          </w:rPr>
          <w:t>only</w:t>
        </w:r>
      </w:ins>
      <w:r>
        <w:rPr>
          <w:iCs/>
          <w:lang w:val="en-US" w:eastAsia="ja-JP"/>
        </w:rPr>
        <w:t>.</w:t>
      </w:r>
      <w:ins w:id="28" w:author="Huawei" w:date="2022-07-20T10:25:00Z">
        <w:r>
          <w:rPr/>
          <w:t xml:space="preserve"> In the case of one resource set, a total of four SRS resources transmitted in different symbols in the same slot</w:t>
        </w:r>
      </w:ins>
      <w:ins w:id="29" w:author="Huawei" w:date="2022-07-20T10:26:00Z">
        <w:r>
          <w:rPr/>
          <w:t>,</w:t>
        </w:r>
      </w:ins>
      <w:ins w:id="30" w:author="Huawei" w:date="2022-07-20T10:27:00Z">
        <w:r>
          <w:rPr>
            <w:color w:val="000000" w:themeColor="text1"/>
            <w14:textFill>
              <w14:solidFill>
                <w14:schemeClr w14:val="tx1"/>
              </w14:solidFill>
            </w14:textFill>
          </w:rPr>
          <w:t xml:space="preserve"> and </w:t>
        </w:r>
      </w:ins>
      <w:ins w:id="31" w:author="Huawei" w:date="2022-08-08T21:08:00Z">
        <w:r>
          <w:rPr>
            <w:color w:val="000000" w:themeColor="text1"/>
            <w14:textFill>
              <w14:solidFill>
                <w14:schemeClr w14:val="tx1"/>
              </w14:solidFill>
            </w14:textFill>
          </w:rPr>
          <w:t xml:space="preserve">where </w:t>
        </w:r>
      </w:ins>
      <w:ins w:id="32" w:author="Huawei" w:date="2022-07-20T10:27:00Z">
        <w:r>
          <w:rPr>
            <w:color w:val="000000" w:themeColor="text1"/>
            <w14:textFill>
              <w14:solidFill>
                <w14:schemeClr w14:val="tx1"/>
              </w14:solidFill>
            </w14:textFill>
          </w:rPr>
          <w:t xml:space="preserve">the SRS port of each resource in the </w:t>
        </w:r>
      </w:ins>
      <w:ins w:id="33" w:author="Huawei" w:date="2022-08-08T21:02:00Z">
        <w:r>
          <w:rPr>
            <w:color w:val="000000" w:themeColor="text1"/>
            <w14:textFill>
              <w14:solidFill>
                <w14:schemeClr w14:val="tx1"/>
              </w14:solidFill>
            </w14:textFill>
          </w:rPr>
          <w:t xml:space="preserve">given </w:t>
        </w:r>
      </w:ins>
      <w:ins w:id="34" w:author="Huawei" w:date="2022-07-20T10:27:00Z">
        <w:r>
          <w:rPr>
            <w:color w:val="000000" w:themeColor="text1"/>
            <w14:textFill>
              <w14:solidFill>
                <w14:schemeClr w14:val="tx1"/>
              </w14:solidFill>
            </w14:textFill>
          </w:rPr>
          <w:t>set is associated with a different UE antenna port.</w:t>
        </w:r>
      </w:ins>
      <w:r>
        <w:rPr>
          <w:iCs/>
          <w:lang w:val="en-US" w:eastAsia="ja-JP"/>
        </w:rPr>
        <w:t xml:space="preserve"> In the case of two resource se</w:t>
      </w:r>
      <w:r>
        <w:rPr>
          <w:iCs/>
          <w:lang w:val="zh-CN" w:eastAsia="ja-JP"/>
        </w:rPr>
        <w:t>ts</w:t>
      </w:r>
      <w:r>
        <w:rPr>
          <w:iCs/>
          <w:lang w:val="en-US" w:eastAsia="ja-JP"/>
        </w:rPr>
        <w:t xml:space="preserve">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Pr>
          <w:lang w:val="zh-CN"/>
        </w:rPr>
        <w:t xml:space="preserve">if UE is capable if supporting four sets, </w:t>
      </w:r>
      <w:r>
        <w:rPr>
          <w:iCs/>
          <w:lang w:val="en-US" w:eastAsia="ja-JP"/>
        </w:rPr>
        <w:t xml:space="preserve">a total of four SRS resources transmitted in different symbols of four different slots, and where the SRS port of each SRS resource in the given four sets is associated with a different UE antenna port. The four sets are each configured with one SRS resource. The UE shall expect that the two </w:t>
      </w:r>
      <w:r>
        <w:rPr>
          <w:iCs/>
          <w:lang w:val="zh-CN" w:eastAsia="ja-JP"/>
        </w:rPr>
        <w:t xml:space="preserve">or four </w:t>
      </w:r>
      <w:r>
        <w:rPr>
          <w:iCs/>
          <w:lang w:val="en-US" w:eastAsia="ja-JP"/>
        </w:rPr>
        <w:t xml:space="preserve">sets are both configured with the same values of the higher layer parameters </w:t>
      </w:r>
      <w:r>
        <w:rPr>
          <w:rFonts w:eastAsia="Malgun Gothic"/>
          <w:i/>
          <w:iCs/>
          <w:lang w:val="zh-CN" w:eastAsia="zh-CN"/>
        </w:rPr>
        <w:t>alpha</w:t>
      </w:r>
      <w:r>
        <w:rPr>
          <w:rFonts w:eastAsia="Malgun Gothic"/>
          <w:iCs/>
          <w:lang w:val="zh-CN" w:eastAsia="zh-CN"/>
        </w:rPr>
        <w:t xml:space="preserve">, </w:t>
      </w:r>
      <w:r>
        <w:rPr>
          <w:rFonts w:eastAsia="Malgun Gothic"/>
          <w:i/>
          <w:iCs/>
          <w:lang w:val="zh-CN" w:eastAsia="zh-CN"/>
        </w:rPr>
        <w:t>p0</w:t>
      </w:r>
      <w:r>
        <w:rPr>
          <w:rFonts w:eastAsia="Malgun Gothic"/>
          <w:iCs/>
          <w:lang w:val="zh-CN" w:eastAsia="zh-CN"/>
        </w:rPr>
        <w:t xml:space="preserve">, </w:t>
      </w:r>
      <w:r>
        <w:rPr>
          <w:rFonts w:eastAsia="Malgun Gothic"/>
          <w:i/>
          <w:iCs/>
          <w:lang w:val="zh-CN" w:eastAsia="zh-CN"/>
        </w:rPr>
        <w:t>pathlossReferenceRS</w:t>
      </w:r>
      <w:r>
        <w:rPr>
          <w:rFonts w:eastAsia="Malgun Gothic"/>
          <w:iCs/>
          <w:lang w:val="zh-CN" w:eastAsia="zh-CN"/>
        </w:rPr>
        <w:t xml:space="preserve">, and </w:t>
      </w:r>
      <w:r>
        <w:rPr>
          <w:rFonts w:eastAsia="Malgun Gothic"/>
          <w:i/>
          <w:iCs/>
          <w:lang w:val="zh-CN" w:eastAsia="zh-CN"/>
        </w:rPr>
        <w:t xml:space="preserve">srs-PowerControlAdjustmentStates </w:t>
      </w:r>
      <w:r>
        <w:rPr>
          <w:rFonts w:eastAsia="Malgun Gothic"/>
          <w:iCs/>
          <w:lang w:val="zh-CN" w:eastAsia="zh-CN"/>
        </w:rPr>
        <w:t>in</w:t>
      </w:r>
      <w:r>
        <w:rPr>
          <w:rFonts w:eastAsia="Malgun Gothic"/>
          <w:i/>
          <w:iCs/>
          <w:lang w:val="zh-CN" w:eastAsia="zh-CN"/>
        </w:rPr>
        <w:t xml:space="preserve"> SRS-ResourceSet</w:t>
      </w:r>
      <w:r>
        <w:rPr>
          <w:rFonts w:eastAsia="Malgun Gothic"/>
          <w:iCs/>
          <w:lang w:val="zh-CN" w:eastAsia="zh-CN"/>
        </w:rPr>
        <w:t xml:space="preserve">. </w:t>
      </w:r>
      <w:r>
        <w:rPr>
          <w:rFonts w:eastAsia="Malgun Gothic"/>
          <w:iCs/>
          <w:color w:val="000000"/>
          <w:lang w:val="zh-CN" w:eastAsia="zh-CN"/>
        </w:rPr>
        <w:t xml:space="preserve">The UE shall expect that the value of the higher layer parameter </w:t>
      </w:r>
      <w:r>
        <w:rPr>
          <w:rFonts w:eastAsia="Malgun Gothic"/>
          <w:i/>
          <w:iCs/>
          <w:color w:val="000000"/>
          <w:lang w:val="zh-CN" w:eastAsia="zh-CN"/>
        </w:rPr>
        <w:t>aperiodicSRS-ResourceTrigger</w:t>
      </w:r>
      <w:r>
        <w:rPr>
          <w:rFonts w:eastAsia="Malgun Gothic"/>
          <w:iCs/>
          <w:color w:val="000000"/>
          <w:lang w:val="zh-CN" w:eastAsia="zh-CN"/>
        </w:rPr>
        <w:t xml:space="preserve"> </w:t>
      </w:r>
      <w:r>
        <w:rPr>
          <w:lang w:val="zh-CN"/>
        </w:rPr>
        <w:t xml:space="preserve">or the value of an entry in </w:t>
      </w:r>
      <w:r>
        <w:rPr>
          <w:i/>
          <w:iCs/>
          <w:lang w:val="zh-CN"/>
        </w:rPr>
        <w:t>AperiodicSRS-ResourceTriggerList</w:t>
      </w:r>
      <w:r>
        <w:rPr>
          <w:lang w:val="zh-CN"/>
        </w:rPr>
        <w:t xml:space="preserve"> </w:t>
      </w:r>
      <w:r>
        <w:rPr>
          <w:rFonts w:eastAsia="Malgun Gothic"/>
          <w:iCs/>
          <w:color w:val="000000"/>
          <w:lang w:val="zh-CN" w:eastAsia="zh-CN"/>
        </w:rPr>
        <w:t xml:space="preserve">in each </w:t>
      </w:r>
      <w:r>
        <w:rPr>
          <w:rFonts w:eastAsia="Malgun Gothic"/>
          <w:i/>
          <w:iCs/>
          <w:color w:val="000000"/>
          <w:lang w:val="zh-CN" w:eastAsia="zh-CN"/>
        </w:rPr>
        <w:t>SRS-ResourceSet</w:t>
      </w:r>
      <w:r>
        <w:rPr>
          <w:rFonts w:eastAsia="Malgun Gothic"/>
          <w:iCs/>
          <w:color w:val="000000"/>
          <w:lang w:val="zh-CN" w:eastAsia="zh-CN"/>
        </w:rPr>
        <w:t xml:space="preserve"> </w:t>
      </w:r>
      <w:r>
        <w:rPr>
          <w:rFonts w:eastAsia="Malgun Gothic"/>
          <w:iCs/>
          <w:color w:val="000000"/>
          <w:lang w:val="en-US" w:eastAsia="zh-CN"/>
        </w:rPr>
        <w:t>is</w:t>
      </w:r>
      <w:r>
        <w:rPr>
          <w:rFonts w:eastAsia="Malgun Gothic"/>
          <w:iCs/>
          <w:color w:val="000000"/>
          <w:lang w:val="zh-CN" w:eastAsia="zh-CN"/>
        </w:rPr>
        <w:t xml:space="preserve"> the same, and the value of the higher layer parameter </w:t>
      </w:r>
      <w:r>
        <w:rPr>
          <w:rFonts w:eastAsia="Malgun Gothic"/>
          <w:i/>
          <w:iCs/>
          <w:color w:val="000000"/>
          <w:lang w:val="zh-CN" w:eastAsia="zh-CN"/>
        </w:rPr>
        <w:t>slotOffset</w:t>
      </w:r>
      <w:r>
        <w:rPr>
          <w:rFonts w:eastAsia="Malgun Gothic"/>
          <w:iCs/>
          <w:color w:val="000000"/>
          <w:lang w:val="zh-CN" w:eastAsia="zh-CN"/>
        </w:rPr>
        <w:t xml:space="preserve"> in each </w:t>
      </w:r>
      <w:r>
        <w:rPr>
          <w:rFonts w:eastAsia="Malgun Gothic"/>
          <w:i/>
          <w:iCs/>
          <w:color w:val="000000"/>
          <w:lang w:val="zh-CN" w:eastAsia="zh-CN"/>
        </w:rPr>
        <w:t>SRS-ResourceSet</w:t>
      </w:r>
      <w:r>
        <w:rPr>
          <w:rFonts w:eastAsia="Malgun Gothic"/>
          <w:iCs/>
          <w:color w:val="000000"/>
          <w:lang w:val="zh-CN" w:eastAsia="zh-CN"/>
        </w:rPr>
        <w:t xml:space="preserve"> is different. </w:t>
      </w:r>
      <w:r>
        <w:rPr>
          <w:rFonts w:eastAsia="Malgun Gothic"/>
          <w:iCs/>
          <w:lang w:val="zh-CN" w:eastAsia="zh-CN"/>
        </w:rPr>
        <w:t xml:space="preserve">Or, </w:t>
      </w:r>
    </w:p>
    <w:p>
      <w:pPr>
        <w:ind w:left="567" w:hanging="284"/>
        <w:rPr>
          <w:rFonts w:eastAsia="MS Mincho"/>
          <w:iCs/>
          <w:color w:val="000000"/>
          <w:lang w:val="zh-CN" w:eastAsia="ja-JP"/>
        </w:rPr>
      </w:pPr>
      <w:r>
        <w:rPr>
          <w:rFonts w:eastAsia="MS Mincho"/>
          <w:iCs/>
          <w:color w:val="000000"/>
          <w:lang w:val="en-US" w:eastAsia="ja-JP"/>
        </w:rPr>
        <w:t>-</w:t>
      </w:r>
      <w:r>
        <w:rPr>
          <w:rFonts w:eastAsia="MS Mincho"/>
          <w:iCs/>
          <w:color w:val="000000"/>
          <w:lang w:val="en-US" w:eastAsia="ja-JP"/>
        </w:rPr>
        <w:tab/>
      </w:r>
      <w:r>
        <w:rPr>
          <w:rFonts w:eastAsia="MS Mincho"/>
          <w:iCs/>
          <w:color w:val="000000"/>
          <w:lang w:val="zh-CN" w:eastAsia="ja-JP"/>
        </w:rPr>
        <w:t>otherwise, for 1T4R,</w:t>
      </w:r>
    </w:p>
    <w:p>
      <w:pPr>
        <w:ind w:left="851" w:hanging="284"/>
        <w:rPr>
          <w:lang w:val="zh-CN" w:eastAsia="ja-JP"/>
        </w:rPr>
      </w:pPr>
      <w:r>
        <w:rPr>
          <w:lang w:val="en-US" w:eastAsia="ja-JP"/>
        </w:rPr>
        <w:t>-</w:t>
      </w:r>
      <w:r>
        <w:rPr>
          <w:lang w:val="en-US" w:eastAsia="ja-JP"/>
        </w:rPr>
        <w:tab/>
      </w:r>
      <w:r>
        <w:rPr>
          <w:lang w:val="zh-CN" w:eastAsia="ja-JP"/>
        </w:rPr>
        <w:t>zero or one SRS resource set configured with higher layer parameter</w:t>
      </w:r>
      <w:r>
        <w:rPr>
          <w:i/>
          <w:lang w:val="zh-CN" w:eastAsia="ja-JP"/>
        </w:rPr>
        <w:t xml:space="preserve"> resourceType</w:t>
      </w:r>
      <w:r>
        <w:rPr>
          <w:lang w:val="zh-CN" w:eastAsia="ja-JP"/>
        </w:rPr>
        <w:t xml:space="preserve"> in </w:t>
      </w:r>
      <w:r>
        <w:rPr>
          <w:i/>
          <w:lang w:val="zh-CN" w:eastAsia="ja-JP"/>
        </w:rPr>
        <w:t>SRS-ResourceSet</w:t>
      </w:r>
      <w:r>
        <w:rPr>
          <w:lang w:val="zh-CN"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ind w:left="851" w:hanging="284"/>
        <w:rPr>
          <w:lang w:val="zh-CN" w:eastAsia="ja-JP"/>
        </w:rPr>
      </w:pPr>
      <w:r>
        <w:rPr>
          <w:lang w:val="en-US" w:eastAsia="ja-JP"/>
        </w:rPr>
        <w:t>-</w:t>
      </w:r>
      <w:r>
        <w:rPr>
          <w:lang w:val="en-US" w:eastAsia="ja-JP"/>
        </w:rPr>
        <w:tab/>
      </w:r>
      <w:r>
        <w:rPr>
          <w:lang w:val="en-US" w:eastAsia="ja-JP"/>
        </w:rPr>
        <w:t xml:space="preserve">zero or two SRS resource sets each configured with higher layer parameter </w:t>
      </w:r>
      <w:r>
        <w:rPr>
          <w:i/>
          <w:lang w:val="en-US" w:eastAsia="ja-JP"/>
        </w:rPr>
        <w:t>resourceType</w:t>
      </w:r>
      <w:r>
        <w:rPr>
          <w:lang w:val="en-US" w:eastAsia="ja-JP"/>
        </w:rPr>
        <w:t xml:space="preserve"> in </w:t>
      </w:r>
      <w:r>
        <w:rPr>
          <w:i/>
          <w:lang w:val="en-US" w:eastAsia="ja-JP"/>
        </w:rPr>
        <w:t>SRS-ResourceSet</w:t>
      </w:r>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eastAsia="ja-JP"/>
        </w:rPr>
        <w:t>alpha</w:t>
      </w:r>
      <w:r>
        <w:rPr>
          <w:lang w:val="en-US" w:eastAsia="ja-JP"/>
        </w:rPr>
        <w:t xml:space="preserve">, </w:t>
      </w:r>
      <w:r>
        <w:rPr>
          <w:i/>
          <w:lang w:val="en-US" w:eastAsia="ja-JP"/>
        </w:rPr>
        <w:t>p0</w:t>
      </w:r>
      <w:r>
        <w:rPr>
          <w:lang w:val="en-US" w:eastAsia="ja-JP"/>
        </w:rPr>
        <w:t xml:space="preserve">, </w:t>
      </w:r>
      <w:r>
        <w:rPr>
          <w:i/>
          <w:lang w:val="en-US" w:eastAsia="ja-JP"/>
        </w:rPr>
        <w:t>pathlossReferenceRS</w:t>
      </w:r>
      <w:r>
        <w:rPr>
          <w:lang w:val="en-US" w:eastAsia="ja-JP"/>
        </w:rPr>
        <w:t xml:space="preserve">, and </w:t>
      </w:r>
      <w:r>
        <w:rPr>
          <w:i/>
          <w:lang w:val="en-US" w:eastAsia="ja-JP"/>
        </w:rPr>
        <w:t>srs-PowerControlAdjustmentStates</w:t>
      </w:r>
      <w:r>
        <w:rPr>
          <w:lang w:val="en-US" w:eastAsia="ja-JP"/>
        </w:rPr>
        <w:t xml:space="preserve"> in </w:t>
      </w:r>
      <w:r>
        <w:rPr>
          <w:i/>
          <w:lang w:val="en-US" w:eastAsia="ja-JP"/>
        </w:rPr>
        <w:t>SRS-ResourceSet</w:t>
      </w:r>
      <w:r>
        <w:rPr>
          <w:lang w:val="en-US" w:eastAsia="ja-JP"/>
        </w:rPr>
        <w:t xml:space="preserve">. The UE shall expect that the value of the higher layer parameter </w:t>
      </w:r>
      <w:r>
        <w:rPr>
          <w:i/>
          <w:lang w:val="en-US" w:eastAsia="ja-JP"/>
        </w:rPr>
        <w:t>aperiodicSRS-ResourceTrigger</w:t>
      </w:r>
      <w:r>
        <w:rPr>
          <w:lang w:val="en-US" w:eastAsia="ja-JP"/>
        </w:rPr>
        <w:t xml:space="preserve"> or the value of an entry in </w:t>
      </w:r>
      <w:r>
        <w:rPr>
          <w:i/>
          <w:lang w:val="en-US" w:eastAsia="ja-JP"/>
        </w:rPr>
        <w:t>AperiodicSRS-ResourceTriggerList</w:t>
      </w:r>
      <w:r>
        <w:rPr>
          <w:lang w:val="en-US" w:eastAsia="ja-JP"/>
        </w:rPr>
        <w:t xml:space="preserve"> in each </w:t>
      </w:r>
      <w:r>
        <w:rPr>
          <w:i/>
          <w:lang w:val="en-US" w:eastAsia="ja-JP"/>
        </w:rPr>
        <w:t>SRS-ResourceSet</w:t>
      </w:r>
      <w:r>
        <w:rPr>
          <w:lang w:val="en-US" w:eastAsia="ja-JP"/>
        </w:rPr>
        <w:t xml:space="preserve"> is the same, and the value of the higher layer parameter </w:t>
      </w:r>
      <w:r>
        <w:rPr>
          <w:i/>
          <w:lang w:val="en-US" w:eastAsia="ja-JP"/>
        </w:rPr>
        <w:t>slotOffset</w:t>
      </w:r>
      <w:r>
        <w:rPr>
          <w:lang w:val="en-US" w:eastAsia="ja-JP"/>
        </w:rPr>
        <w:t xml:space="preserve"> in each </w:t>
      </w:r>
      <w:r>
        <w:rPr>
          <w:i/>
          <w:lang w:val="en-US" w:eastAsia="ja-JP"/>
        </w:rPr>
        <w:t>SRS-ResourceSet</w:t>
      </w:r>
      <w:r>
        <w:rPr>
          <w:lang w:val="en-US" w:eastAsia="ja-JP"/>
        </w:rPr>
        <w:t xml:space="preserve"> is different. Or,</w:t>
      </w:r>
    </w:p>
    <w:p>
      <w:pPr>
        <w:jc w:val="center"/>
        <w:rPr>
          <w:color w:val="FF0000"/>
          <w:lang w:eastAsia="zh-CN"/>
        </w:rPr>
      </w:pPr>
      <w:r>
        <w:rPr>
          <w:color w:val="FF0000"/>
          <w:lang w:eastAsia="zh-CN"/>
        </w:rPr>
        <w:t>========================= Unchanged parts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83AFC"/>
    <w:rsid w:val="00095986"/>
    <w:rsid w:val="000A6394"/>
    <w:rsid w:val="000B0230"/>
    <w:rsid w:val="000B7FED"/>
    <w:rsid w:val="000C038A"/>
    <w:rsid w:val="000C6598"/>
    <w:rsid w:val="000D44B3"/>
    <w:rsid w:val="001170E6"/>
    <w:rsid w:val="00145D43"/>
    <w:rsid w:val="00166913"/>
    <w:rsid w:val="00180FF2"/>
    <w:rsid w:val="00192C46"/>
    <w:rsid w:val="001952EA"/>
    <w:rsid w:val="001A08B3"/>
    <w:rsid w:val="001A68D7"/>
    <w:rsid w:val="001A7B60"/>
    <w:rsid w:val="001B52F0"/>
    <w:rsid w:val="001B76F8"/>
    <w:rsid w:val="001B7A65"/>
    <w:rsid w:val="001C563D"/>
    <w:rsid w:val="001D0777"/>
    <w:rsid w:val="001E0473"/>
    <w:rsid w:val="001E31B8"/>
    <w:rsid w:val="001E41F3"/>
    <w:rsid w:val="001F4565"/>
    <w:rsid w:val="002056C6"/>
    <w:rsid w:val="00227D59"/>
    <w:rsid w:val="0026004D"/>
    <w:rsid w:val="002640DD"/>
    <w:rsid w:val="00270A80"/>
    <w:rsid w:val="00270AB3"/>
    <w:rsid w:val="00275D12"/>
    <w:rsid w:val="00284FEB"/>
    <w:rsid w:val="002860C4"/>
    <w:rsid w:val="002A3E25"/>
    <w:rsid w:val="002B30DB"/>
    <w:rsid w:val="002B5741"/>
    <w:rsid w:val="002B7F6B"/>
    <w:rsid w:val="002C1670"/>
    <w:rsid w:val="002D0D4E"/>
    <w:rsid w:val="002D70D3"/>
    <w:rsid w:val="002E472E"/>
    <w:rsid w:val="002E6C36"/>
    <w:rsid w:val="002F63AA"/>
    <w:rsid w:val="002F6C59"/>
    <w:rsid w:val="00305409"/>
    <w:rsid w:val="00350D39"/>
    <w:rsid w:val="00360294"/>
    <w:rsid w:val="003609EF"/>
    <w:rsid w:val="0036231A"/>
    <w:rsid w:val="00371842"/>
    <w:rsid w:val="00374DD4"/>
    <w:rsid w:val="003D6347"/>
    <w:rsid w:val="003D6859"/>
    <w:rsid w:val="003E0528"/>
    <w:rsid w:val="003E1A36"/>
    <w:rsid w:val="00410371"/>
    <w:rsid w:val="004118ED"/>
    <w:rsid w:val="004242F1"/>
    <w:rsid w:val="00434CD9"/>
    <w:rsid w:val="004374E5"/>
    <w:rsid w:val="00440CC4"/>
    <w:rsid w:val="00443401"/>
    <w:rsid w:val="00497ED5"/>
    <w:rsid w:val="004B6E63"/>
    <w:rsid w:val="004B75B7"/>
    <w:rsid w:val="004E3F57"/>
    <w:rsid w:val="004E4C34"/>
    <w:rsid w:val="004F7359"/>
    <w:rsid w:val="0051580D"/>
    <w:rsid w:val="005178F9"/>
    <w:rsid w:val="0053386D"/>
    <w:rsid w:val="00547111"/>
    <w:rsid w:val="005546D9"/>
    <w:rsid w:val="0057328F"/>
    <w:rsid w:val="00592D74"/>
    <w:rsid w:val="00595BE1"/>
    <w:rsid w:val="005B2B97"/>
    <w:rsid w:val="005C5125"/>
    <w:rsid w:val="005C5842"/>
    <w:rsid w:val="005E2C44"/>
    <w:rsid w:val="005E7AA5"/>
    <w:rsid w:val="00621188"/>
    <w:rsid w:val="006257ED"/>
    <w:rsid w:val="0063787C"/>
    <w:rsid w:val="00665C47"/>
    <w:rsid w:val="0067499C"/>
    <w:rsid w:val="00687366"/>
    <w:rsid w:val="00690AFA"/>
    <w:rsid w:val="00694E56"/>
    <w:rsid w:val="00695808"/>
    <w:rsid w:val="006B46FB"/>
    <w:rsid w:val="006E21FB"/>
    <w:rsid w:val="006F7F66"/>
    <w:rsid w:val="00720ABF"/>
    <w:rsid w:val="00721E97"/>
    <w:rsid w:val="00747C4F"/>
    <w:rsid w:val="00767C59"/>
    <w:rsid w:val="00792342"/>
    <w:rsid w:val="00793920"/>
    <w:rsid w:val="007977A8"/>
    <w:rsid w:val="007A6081"/>
    <w:rsid w:val="007B512A"/>
    <w:rsid w:val="007C2097"/>
    <w:rsid w:val="007D26B6"/>
    <w:rsid w:val="007D6A07"/>
    <w:rsid w:val="007F6732"/>
    <w:rsid w:val="007F7259"/>
    <w:rsid w:val="008040A8"/>
    <w:rsid w:val="00807F06"/>
    <w:rsid w:val="00824630"/>
    <w:rsid w:val="008279FA"/>
    <w:rsid w:val="008613A8"/>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73E1D"/>
    <w:rsid w:val="009777D9"/>
    <w:rsid w:val="00985F31"/>
    <w:rsid w:val="00991B88"/>
    <w:rsid w:val="009A39EB"/>
    <w:rsid w:val="009A5753"/>
    <w:rsid w:val="009A579D"/>
    <w:rsid w:val="009E3297"/>
    <w:rsid w:val="009E52C6"/>
    <w:rsid w:val="009F734F"/>
    <w:rsid w:val="00A177E8"/>
    <w:rsid w:val="00A246B6"/>
    <w:rsid w:val="00A3714D"/>
    <w:rsid w:val="00A47E70"/>
    <w:rsid w:val="00A50CF0"/>
    <w:rsid w:val="00A560F8"/>
    <w:rsid w:val="00A56895"/>
    <w:rsid w:val="00A622CF"/>
    <w:rsid w:val="00A74629"/>
    <w:rsid w:val="00A7671C"/>
    <w:rsid w:val="00A767A2"/>
    <w:rsid w:val="00AA2CBC"/>
    <w:rsid w:val="00AB5481"/>
    <w:rsid w:val="00AC5820"/>
    <w:rsid w:val="00AD1CD8"/>
    <w:rsid w:val="00B068B9"/>
    <w:rsid w:val="00B258BB"/>
    <w:rsid w:val="00B638AF"/>
    <w:rsid w:val="00B67B97"/>
    <w:rsid w:val="00B968C8"/>
    <w:rsid w:val="00BA1207"/>
    <w:rsid w:val="00BA202F"/>
    <w:rsid w:val="00BA3EC5"/>
    <w:rsid w:val="00BA4C4C"/>
    <w:rsid w:val="00BA51D9"/>
    <w:rsid w:val="00BB23BB"/>
    <w:rsid w:val="00BB5DFC"/>
    <w:rsid w:val="00BD279D"/>
    <w:rsid w:val="00BD617E"/>
    <w:rsid w:val="00BD6BB8"/>
    <w:rsid w:val="00BE2163"/>
    <w:rsid w:val="00BE2DE8"/>
    <w:rsid w:val="00C04FBF"/>
    <w:rsid w:val="00C16B1D"/>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55264"/>
    <w:rsid w:val="00D66520"/>
    <w:rsid w:val="00DE34CF"/>
    <w:rsid w:val="00DF36EF"/>
    <w:rsid w:val="00E00906"/>
    <w:rsid w:val="00E050C3"/>
    <w:rsid w:val="00E13F3D"/>
    <w:rsid w:val="00E20208"/>
    <w:rsid w:val="00E34898"/>
    <w:rsid w:val="00E36984"/>
    <w:rsid w:val="00E37BE2"/>
    <w:rsid w:val="00E41E74"/>
    <w:rsid w:val="00E54367"/>
    <w:rsid w:val="00E747D4"/>
    <w:rsid w:val="00E9093A"/>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 w:val="0DFF2396"/>
    <w:rsid w:val="1A9813FA"/>
    <w:rsid w:val="2E8908CB"/>
    <w:rsid w:val="35E128AE"/>
    <w:rsid w:val="405E13F3"/>
    <w:rsid w:val="47CF3DBB"/>
    <w:rsid w:val="5ED01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5"/>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127"/>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6"/>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30"/>
    <w:qFormat/>
    <w:uiPriority w:val="0"/>
    <w:rPr>
      <w:b/>
    </w:rPr>
  </w:style>
  <w:style w:type="paragraph" w:customStyle="1" w:styleId="89">
    <w:name w:val="TAC"/>
    <w:basedOn w:val="90"/>
    <w:link w:val="129"/>
    <w:qFormat/>
    <w:uiPriority w:val="0"/>
    <w:pPr>
      <w:jc w:val="center"/>
    </w:pPr>
  </w:style>
  <w:style w:type="paragraph" w:customStyle="1" w:styleId="90">
    <w:name w:val="TAL"/>
    <w:basedOn w:val="1"/>
    <w:link w:val="143"/>
    <w:qFormat/>
    <w:uiPriority w:val="0"/>
    <w:pPr>
      <w:keepNext/>
      <w:keepLines/>
      <w:spacing w:after="0"/>
    </w:pPr>
    <w:rPr>
      <w:rFonts w:ascii="Arial" w:hAnsi="Arial" w:eastAsiaTheme="minorEastAsia"/>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8"/>
    <w:qFormat/>
    <w:uiPriority w:val="0"/>
    <w:pPr>
      <w:keepNext/>
      <w:keepLines/>
      <w:spacing w:before="60"/>
      <w:jc w:val="center"/>
    </w:pPr>
    <w:rPr>
      <w:rFonts w:ascii="Arial" w:hAnsi="Arial" w:eastAsiaTheme="minorEastAsia"/>
      <w:b/>
    </w:rPr>
  </w:style>
  <w:style w:type="paragraph" w:customStyle="1" w:styleId="93">
    <w:name w:val="NO"/>
    <w:basedOn w:val="1"/>
    <w:link w:val="259"/>
    <w:qFormat/>
    <w:uiPriority w:val="0"/>
    <w:pPr>
      <w:keepLines/>
      <w:ind w:left="1135" w:hanging="851"/>
    </w:pPr>
    <w:rPr>
      <w:rFonts w:eastAsiaTheme="minorEastAsia"/>
    </w:rPr>
  </w:style>
  <w:style w:type="paragraph" w:customStyle="1" w:styleId="94">
    <w:name w:val="EX"/>
    <w:basedOn w:val="1"/>
    <w:qFormat/>
    <w:uiPriority w:val="99"/>
    <w:pPr>
      <w:keepLines/>
      <w:ind w:left="1702" w:hanging="1418"/>
    </w:pPr>
    <w:rPr>
      <w:rFonts w:eastAsiaTheme="minorEastAsia"/>
    </w:rPr>
  </w:style>
  <w:style w:type="paragraph" w:customStyle="1" w:styleId="95">
    <w:name w:val="FP"/>
    <w:basedOn w:val="1"/>
    <w:qFormat/>
    <w:uiPriority w:val="0"/>
    <w:pPr>
      <w:spacing w:after="0"/>
    </w:pPr>
    <w:rPr>
      <w:rFonts w:eastAsiaTheme="minorEastAsia"/>
    </w:r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0"/>
    <w:pPr>
      <w:keepLines/>
      <w:tabs>
        <w:tab w:val="center" w:pos="4536"/>
        <w:tab w:val="right" w:pos="9072"/>
      </w:tabs>
    </w:pPr>
    <w:rPr>
      <w:rFonts w:eastAsiaTheme="minorEastAsia"/>
    </w:r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3"/>
    <w:qFormat/>
    <w:uiPriority w:val="0"/>
  </w:style>
  <w:style w:type="paragraph" w:customStyle="1" w:styleId="114">
    <w:name w:val="B3"/>
    <w:basedOn w:val="12"/>
    <w:link w:val="144"/>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locked/>
    <w:uiPriority w:val="0"/>
    <w:rPr>
      <w:rFonts w:ascii="Times New Roman" w:hAnsi="Times New Roman"/>
      <w:lang w:val="en-GB" w:eastAsia="en-US"/>
    </w:rPr>
  </w:style>
  <w:style w:type="paragraph" w:customStyle="1" w:styleId="121">
    <w:name w:val="TAJ"/>
    <w:basedOn w:val="92"/>
    <w:qFormat/>
    <w:uiPriority w:val="0"/>
    <w:rPr>
      <w:rFonts w:eastAsia="宋体"/>
      <w:lang w:val="zh-CN"/>
    </w:rPr>
  </w:style>
  <w:style w:type="paragraph" w:customStyle="1" w:styleId="122">
    <w:name w:val="Guidance"/>
    <w:basedOn w:val="1"/>
    <w:qFormat/>
    <w:uiPriority w:val="0"/>
    <w:rPr>
      <w:i/>
      <w:color w:val="0000FF"/>
    </w:rPr>
  </w:style>
  <w:style w:type="character" w:customStyle="1" w:styleId="123">
    <w:name w:val="B2 Char"/>
    <w:link w:val="113"/>
    <w:qFormat/>
    <w:uiPriority w:val="0"/>
    <w:rPr>
      <w:rFonts w:ascii="Times New Roman" w:hAnsi="Times New Roman"/>
      <w:lang w:val="en-GB" w:eastAsia="en-US"/>
    </w:rPr>
  </w:style>
  <w:style w:type="character" w:customStyle="1" w:styleId="124">
    <w:name w:val="B2 Car"/>
    <w:qFormat/>
    <w:uiPriority w:val="0"/>
    <w:rPr>
      <w:lang w:val="en-GB" w:eastAsia="en-US"/>
    </w:rPr>
  </w:style>
  <w:style w:type="character" w:customStyle="1" w:styleId="125">
    <w:name w:val="Comment Text Char"/>
    <w:link w:val="31"/>
    <w:qFormat/>
    <w:uiPriority w:val="99"/>
    <w:rPr>
      <w:rFonts w:ascii="Times New Roman" w:hAnsi="Times New Roman"/>
      <w:lang w:val="en-GB" w:eastAsia="en-US"/>
    </w:rPr>
  </w:style>
  <w:style w:type="character" w:customStyle="1" w:styleId="126">
    <w:name w:val="Comment Subject Char"/>
    <w:link w:val="58"/>
    <w:qFormat/>
    <w:uiPriority w:val="99"/>
    <w:rPr>
      <w:rFonts w:ascii="Times New Roman" w:hAnsi="Times New Roman"/>
      <w:b/>
      <w:bCs/>
      <w:lang w:val="en-GB" w:eastAsia="en-US"/>
    </w:rPr>
  </w:style>
  <w:style w:type="character" w:customStyle="1" w:styleId="127">
    <w:name w:val="Balloon Text Char"/>
    <w:link w:val="41"/>
    <w:qFormat/>
    <w:uiPriority w:val="99"/>
    <w:rPr>
      <w:rFonts w:ascii="Tahoma" w:hAnsi="Tahoma" w:cs="Tahoma"/>
      <w:sz w:val="16"/>
      <w:szCs w:val="16"/>
      <w:lang w:val="en-GB" w:eastAsia="en-US"/>
    </w:rPr>
  </w:style>
  <w:style w:type="character" w:customStyle="1" w:styleId="128">
    <w:name w:val="TH Char"/>
    <w:link w:val="92"/>
    <w:qFormat/>
    <w:uiPriority w:val="0"/>
    <w:rPr>
      <w:rFonts w:ascii="Arial" w:hAnsi="Arial"/>
      <w:b/>
      <w:lang w:val="en-GB" w:eastAsia="en-US"/>
    </w:rPr>
  </w:style>
  <w:style w:type="character" w:customStyle="1" w:styleId="129">
    <w:name w:val="TAC Char"/>
    <w:link w:val="89"/>
    <w:qFormat/>
    <w:locked/>
    <w:uiPriority w:val="0"/>
    <w:rPr>
      <w:rFonts w:ascii="Arial" w:hAnsi="Arial"/>
      <w:sz w:val="18"/>
      <w:lang w:val="en-GB" w:eastAsia="en-US"/>
    </w:rPr>
  </w:style>
  <w:style w:type="character" w:customStyle="1" w:styleId="130">
    <w:name w:val="TAH Car"/>
    <w:link w:val="88"/>
    <w:qFormat/>
    <w:uiPriority w:val="0"/>
    <w:rPr>
      <w:rFonts w:ascii="Arial" w:hAnsi="Arial"/>
      <w:b/>
      <w:sz w:val="18"/>
      <w:lang w:val="en-GB" w:eastAsia="en-US"/>
    </w:rPr>
  </w:style>
  <w:style w:type="character" w:customStyle="1" w:styleId="131">
    <w:name w:val="Heading 5 Char"/>
    <w:link w:val="6"/>
    <w:qFormat/>
    <w:uiPriority w:val="0"/>
    <w:rPr>
      <w:rFonts w:ascii="Arial" w:hAnsi="Arial"/>
      <w:sz w:val="22"/>
      <w:lang w:val="en-GB" w:eastAsia="en-US"/>
    </w:rPr>
  </w:style>
  <w:style w:type="character" w:customStyle="1" w:styleId="132">
    <w:name w:val="Heading 4 Char"/>
    <w:link w:val="5"/>
    <w:qFormat/>
    <w:uiPriority w:val="0"/>
    <w:rPr>
      <w:rFonts w:ascii="Arial" w:hAnsi="Arial"/>
      <w:sz w:val="24"/>
      <w:lang w:val="en-GB" w:eastAsia="en-US"/>
    </w:rPr>
  </w:style>
  <w:style w:type="character" w:customStyle="1" w:styleId="133">
    <w:name w:val="Heading 1 Char"/>
    <w:link w:val="2"/>
    <w:qFormat/>
    <w:uiPriority w:val="99"/>
    <w:rPr>
      <w:rFonts w:ascii="Arial" w:hAnsi="Arial"/>
      <w:sz w:val="36"/>
      <w:lang w:val="en-GB" w:eastAsia="en-US"/>
    </w:rPr>
  </w:style>
  <w:style w:type="character" w:customStyle="1" w:styleId="134">
    <w:name w:val="Heading 2 Char1"/>
    <w:link w:val="3"/>
    <w:qFormat/>
    <w:uiPriority w:val="0"/>
    <w:rPr>
      <w:rFonts w:ascii="Arial" w:hAnsi="Arial"/>
      <w:sz w:val="32"/>
      <w:lang w:val="en-GB" w:eastAsia="en-US"/>
    </w:rPr>
  </w:style>
  <w:style w:type="character" w:customStyle="1" w:styleId="135">
    <w:name w:val="Heading 3 Char"/>
    <w:link w:val="4"/>
    <w:qFormat/>
    <w:uiPriority w:val="9"/>
    <w:rPr>
      <w:rFonts w:ascii="Arial" w:hAnsi="Arial"/>
      <w:sz w:val="28"/>
      <w:lang w:val="en-GB" w:eastAsia="en-US"/>
    </w:rPr>
  </w:style>
  <w:style w:type="character" w:customStyle="1" w:styleId="136">
    <w:name w:val="Heading 6 Char"/>
    <w:link w:val="7"/>
    <w:qFormat/>
    <w:uiPriority w:val="9"/>
    <w:rPr>
      <w:rFonts w:ascii="Arial" w:hAnsi="Arial"/>
      <w:lang w:val="en-GB" w:eastAsia="en-US"/>
    </w:rPr>
  </w:style>
  <w:style w:type="character" w:customStyle="1" w:styleId="137">
    <w:name w:val="Heading 7 Char"/>
    <w:link w:val="9"/>
    <w:qFormat/>
    <w:uiPriority w:val="9"/>
    <w:rPr>
      <w:rFonts w:ascii="Arial" w:hAnsi="Arial"/>
      <w:lang w:val="en-GB" w:eastAsia="en-US"/>
    </w:rPr>
  </w:style>
  <w:style w:type="character" w:customStyle="1" w:styleId="138">
    <w:name w:val="Heading 8 Char"/>
    <w:link w:val="10"/>
    <w:qFormat/>
    <w:uiPriority w:val="9"/>
    <w:rPr>
      <w:rFonts w:ascii="Arial" w:hAnsi="Arial"/>
      <w:sz w:val="36"/>
      <w:lang w:val="en-GB" w:eastAsia="en-US"/>
    </w:rPr>
  </w:style>
  <w:style w:type="character" w:customStyle="1" w:styleId="139">
    <w:name w:val="Heading 9 Char"/>
    <w:link w:val="11"/>
    <w:qFormat/>
    <w:uiPriority w:val="9"/>
    <w:rPr>
      <w:rFonts w:ascii="Arial" w:hAnsi="Arial"/>
      <w:sz w:val="36"/>
      <w:lang w:val="en-GB" w:eastAsia="en-US"/>
    </w:rPr>
  </w:style>
  <w:style w:type="character" w:customStyle="1" w:styleId="140">
    <w:name w:val="Header Char"/>
    <w:link w:val="43"/>
    <w:qFormat/>
    <w:uiPriority w:val="0"/>
    <w:rPr>
      <w:rFonts w:ascii="Arial" w:hAnsi="Arial"/>
      <w:b/>
      <w:sz w:val="18"/>
      <w:lang w:val="en-GB" w:eastAsia="en-US"/>
    </w:rPr>
  </w:style>
  <w:style w:type="character" w:customStyle="1" w:styleId="141">
    <w:name w:val="Footer Char"/>
    <w:link w:val="42"/>
    <w:qFormat/>
    <w:uiPriority w:val="99"/>
    <w:rPr>
      <w:rFonts w:ascii="Arial" w:hAnsi="Arial"/>
      <w:b/>
      <w:i/>
      <w:sz w:val="18"/>
      <w:lang w:val="en-GB" w:eastAsia="en-US"/>
    </w:rPr>
  </w:style>
  <w:style w:type="character" w:customStyle="1" w:styleId="142">
    <w:name w:val="PL Char"/>
    <w:link w:val="101"/>
    <w:qFormat/>
    <w:locked/>
    <w:uiPriority w:val="0"/>
    <w:rPr>
      <w:rFonts w:ascii="Courier New" w:hAnsi="Courier New"/>
      <w:sz w:val="16"/>
      <w:lang w:val="en-GB" w:eastAsia="en-US"/>
    </w:rPr>
  </w:style>
  <w:style w:type="character" w:customStyle="1" w:styleId="143">
    <w:name w:val="TAL Char"/>
    <w:link w:val="90"/>
    <w:qFormat/>
    <w:locked/>
    <w:uiPriority w:val="0"/>
    <w:rPr>
      <w:rFonts w:ascii="Arial" w:hAnsi="Arial"/>
      <w:sz w:val="18"/>
      <w:lang w:val="en-GB" w:eastAsia="en-US"/>
    </w:rPr>
  </w:style>
  <w:style w:type="character" w:customStyle="1" w:styleId="144">
    <w:name w:val="B3 Char"/>
    <w:link w:val="114"/>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Body Text Char"/>
    <w:basedOn w:val="75"/>
    <w:link w:val="33"/>
    <w:qFormat/>
    <w:uiPriority w:val="0"/>
    <w:rPr>
      <w:rFonts w:ascii="Times New Roman" w:hAnsi="Times New Roman" w:eastAsia="宋体"/>
      <w:lang w:val="en-GB" w:eastAsia="en-GB"/>
    </w:rPr>
  </w:style>
  <w:style w:type="character" w:customStyle="1" w:styleId="147">
    <w:name w:val="Footnote Text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List Char"/>
    <w:link w:val="14"/>
    <w:qFormat/>
    <w:uiPriority w:val="0"/>
    <w:rPr>
      <w:rFonts w:ascii="Times New Roman" w:hAnsi="Times New Roman"/>
      <w:lang w:val="en-GB" w:eastAsia="en-US"/>
    </w:rPr>
  </w:style>
  <w:style w:type="character" w:customStyle="1" w:styleId="150">
    <w:name w:val="List 2 Char"/>
    <w:link w:val="13"/>
    <w:qFormat/>
    <w:uiPriority w:val="0"/>
    <w:rPr>
      <w:rFonts w:ascii="Times New Roman" w:hAnsi="Times New Roman"/>
      <w:lang w:val="en-GB" w:eastAsia="en-US"/>
    </w:rPr>
  </w:style>
  <w:style w:type="character" w:customStyle="1" w:styleId="151">
    <w:name w:val="List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character" w:customStyle="1" w:styleId="155">
    <w:name w:val="Plain Text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Body Text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Body Text Indent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Body Text Indent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Date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List Paragraph Char"/>
    <w:link w:val="174"/>
    <w:qFormat/>
    <w:uiPriority w:val="34"/>
    <w:rPr>
      <w:rFonts w:ascii="Calibri" w:hAnsi="Calibri" w:eastAsia="Calibri"/>
      <w:sz w:val="22"/>
      <w:szCs w:val="22"/>
      <w:lang w:val="en-US" w:eastAsia="en-US"/>
    </w:rPr>
  </w:style>
  <w:style w:type="paragraph" w:customStyle="1" w:styleId="176">
    <w:name w:val="Table Cell"/>
    <w:basedOn w:val="89"/>
    <w:link w:val="177"/>
    <w:qFormat/>
    <w:uiPriority w:val="0"/>
    <w:pPr>
      <w:overflowPunct w:val="0"/>
      <w:autoSpaceDE w:val="0"/>
      <w:autoSpaceDN w:val="0"/>
      <w:adjustRightInd w:val="0"/>
    </w:pPr>
    <w:rPr>
      <w:rFonts w:eastAsia="宋体"/>
      <w:lang w:val="zh-CN" w:eastAsia="zh-CN"/>
    </w:rPr>
  </w:style>
  <w:style w:type="character" w:customStyle="1" w:styleId="177">
    <w:name w:val="Table Cell Char"/>
    <w:link w:val="176"/>
    <w:qFormat/>
    <w:uiPriority w:val="0"/>
    <w:rPr>
      <w:rFonts w:ascii="Arial" w:hAnsi="Arial" w:eastAsia="宋体"/>
      <w:sz w:val="18"/>
      <w:lang w:val="zh-CN"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lang w:val="zh-CN" w:eastAsia="zh-CN"/>
    </w:rPr>
  </w:style>
  <w:style w:type="character" w:customStyle="1" w:styleId="179">
    <w:name w:val="MTDisplayEquation Char"/>
    <w:link w:val="178"/>
    <w:qFormat/>
    <w:uiPriority w:val="0"/>
    <w:rPr>
      <w:rFonts w:ascii="Times New Roman" w:hAnsi="Times New Roman" w:eastAsia="Calibri"/>
      <w:szCs w:val="22"/>
      <w:lang w:val="zh-CN" w:eastAsia="zh-CN"/>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0">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Revision"/>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6">
    <w:name w:val="text Char"/>
    <w:link w:val="189"/>
    <w:qFormat/>
    <w:uiPriority w:val="0"/>
    <w:rPr>
      <w:rFonts w:ascii="Times New Roman" w:hAnsi="Times New Roman" w:eastAsia="宋体"/>
      <w:sz w:val="24"/>
      <w:lang w:val="en-AU" w:eastAsia="zh-CN"/>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Caption Char1"/>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Subtitle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Title Char1"/>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Body Text Indent Char1"/>
    <w:basedOn w:val="75"/>
    <w:link w:val="34"/>
    <w:qFormat/>
    <w:uiPriority w:val="99"/>
    <w:rPr>
      <w:rFonts w:ascii="Times New Roman" w:hAnsi="Times New Roman" w:eastAsia="宋体"/>
      <w:lang w:val="en-GB" w:eastAsia="en-US"/>
    </w:rPr>
  </w:style>
  <w:style w:type="character" w:customStyle="1" w:styleId="309">
    <w:name w:val="Body Text First Indent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Preformatted Char"/>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Body Text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val="zh-CN"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Subtle Emphasis"/>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9"/>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eastAsia="zh-CN"/>
    </w:rPr>
  </w:style>
  <w:style w:type="character" w:customStyle="1" w:styleId="492">
    <w:name w:val="Heading 4 Char1"/>
    <w:qFormat/>
    <w:uiPriority w:val="9"/>
    <w:rPr>
      <w:rFonts w:ascii="Arial" w:hAnsi="Arial"/>
      <w:b/>
      <w:i/>
      <w:sz w:val="26"/>
      <w:lang w:val="en-GB" w:eastAsia="zh-CN"/>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val="zh-CN" w:eastAsia="en-US"/>
    </w:rPr>
  </w:style>
  <w:style w:type="table" w:customStyle="1" w:styleId="496">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9">
    <w:name w:val="LGTdoc_본문 Char"/>
    <w:link w:val="487"/>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Batang"/>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Batang"/>
      <w:lang w:val="fr-FR" w:eastAsia="fr-F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3BEA33-3151-40D3-AA0A-F55F3B796C8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1090</Words>
  <Characters>6215</Characters>
  <Lines>51</Lines>
  <Paragraphs>14</Paragraphs>
  <TotalTime>3</TotalTime>
  <ScaleCrop>false</ScaleCrop>
  <LinksUpToDate>false</LinksUpToDate>
  <CharactersWithSpaces>7291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2022-08-12T08:23:00Z</dcterms:created>
  <dc:creator>Michael Sanders, John M Meredith</dc:creator>
  <cp:lastModifiedBy>Yang</cp:lastModifiedBy>
  <cp:lastPrinted>2411-12-31T00:00:00Z</cp:lastPrinted>
  <dcterms:modified xsi:type="dcterms:W3CDTF">2022-08-26T09:57:40Z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(3)rfkswftnEEWiJz0aAuHVlPYxmy7adHJ6a2r35yoCqL87e9OMKfwyft0svhtlQmoBPiWJottF
y7U8VDwGDRKJo83Xie1j0EBEvGGZgvE237Hrnbt1/lm73KMK7wC1Leb3GcY4CiRhkz50Lfb0
PozTYklIRgYgrZQweVckFAoOknyxoq3qkYep798tI+6oicygAF2yV4uiWPvgFGwX9SklDDWX
j45WWqT+u6ot1YFKsQ</vt:lpwstr>
  </property>
  <property fmtid="{D5CDD505-2E9C-101B-9397-08002B2CF9AE}" pid="22" name="_2015_ms_pID_7253431">
    <vt:lpwstr>m8MHZeZfThBAoTDSG1dRO1Ayk/gGQku3H4sJDip4eEoW9Nvf6i8pUi
1EPBn4oivhRHaTDWQhhp77Jeuc9oDnNf+d0qwebHm04RR6qQ47UttqWbnxaxcZzW7ZIIBqe2
og+piDJk+ulPLjpYPkGxueg5YC/pBmJibO5qMlgBhWj8KL5kdNbuEtohzbhuADaqofi9l7lB
NDQpnqNAhMdn3s1qCVwbrVBLl/WcpthKm3Ne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1658456133</vt:lpwstr>
  </property>
  <property fmtid="{D5CDD505-2E9C-101B-9397-08002B2CF9AE}" pid="28" name="KSOProductBuildVer">
    <vt:lpwstr>2052-11.8.2.9022</vt:lpwstr>
  </property>
</Properties>
</file>